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89" w:rsidRPr="00082589" w:rsidRDefault="00082589" w:rsidP="00082589">
      <w:pPr>
        <w:pStyle w:val="Default"/>
        <w:jc w:val="center"/>
        <w:rPr>
          <w:b/>
          <w:sz w:val="32"/>
          <w:szCs w:val="26"/>
          <w:u w:val="single"/>
        </w:rPr>
      </w:pPr>
      <w:r w:rsidRPr="00082589">
        <w:rPr>
          <w:b/>
          <w:sz w:val="32"/>
          <w:szCs w:val="26"/>
          <w:u w:val="single"/>
        </w:rPr>
        <w:t>Особенности проведения итого</w:t>
      </w:r>
      <w:r w:rsidR="009A3ED0">
        <w:rPr>
          <w:b/>
          <w:sz w:val="32"/>
          <w:szCs w:val="26"/>
          <w:u w:val="single"/>
        </w:rPr>
        <w:t xml:space="preserve">вого </w:t>
      </w:r>
      <w:proofErr w:type="spellStart"/>
      <w:r w:rsidR="009A3ED0">
        <w:rPr>
          <w:b/>
          <w:sz w:val="32"/>
          <w:szCs w:val="26"/>
          <w:u w:val="single"/>
        </w:rPr>
        <w:t>сочиннеи</w:t>
      </w:r>
      <w:proofErr w:type="gramStart"/>
      <w:r w:rsidR="009A3ED0">
        <w:rPr>
          <w:b/>
          <w:sz w:val="32"/>
          <w:szCs w:val="26"/>
          <w:u w:val="single"/>
        </w:rPr>
        <w:t>я</w:t>
      </w:r>
      <w:proofErr w:type="spellEnd"/>
      <w:r w:rsidR="009A3ED0">
        <w:rPr>
          <w:b/>
          <w:sz w:val="32"/>
          <w:szCs w:val="26"/>
          <w:u w:val="single"/>
        </w:rPr>
        <w:t>(</w:t>
      </w:r>
      <w:proofErr w:type="gramEnd"/>
      <w:r w:rsidR="009A3ED0">
        <w:rPr>
          <w:b/>
          <w:sz w:val="32"/>
          <w:szCs w:val="26"/>
          <w:u w:val="single"/>
        </w:rPr>
        <w:t>изложения) в 2019/2020</w:t>
      </w:r>
      <w:r w:rsidRPr="00082589">
        <w:rPr>
          <w:b/>
          <w:sz w:val="32"/>
          <w:szCs w:val="26"/>
          <w:u w:val="single"/>
        </w:rPr>
        <w:t xml:space="preserve"> учебном году.</w:t>
      </w:r>
    </w:p>
    <w:p w:rsidR="00082589" w:rsidRDefault="00082589" w:rsidP="00082589">
      <w:pPr>
        <w:pStyle w:val="Default"/>
        <w:rPr>
          <w:sz w:val="26"/>
          <w:szCs w:val="26"/>
        </w:rPr>
      </w:pPr>
      <w:r>
        <w:rPr>
          <w:sz w:val="26"/>
          <w:szCs w:val="26"/>
        </w:rPr>
        <w:t xml:space="preserve">Итоговое сочинение (изложение) проводится в первую среду декабря. </w:t>
      </w:r>
    </w:p>
    <w:p w:rsidR="00082589" w:rsidRDefault="00082589" w:rsidP="00082589">
      <w:pPr>
        <w:pStyle w:val="Default"/>
        <w:rPr>
          <w:sz w:val="26"/>
          <w:szCs w:val="26"/>
        </w:rPr>
      </w:pPr>
      <w:r>
        <w:rPr>
          <w:sz w:val="26"/>
          <w:szCs w:val="26"/>
        </w:rPr>
        <w:t xml:space="preserve">Продолжительность написания итогового сочинения (изложения) составляет 3 часа 55 минут (235 минут). </w:t>
      </w:r>
    </w:p>
    <w:p w:rsidR="00082589" w:rsidRDefault="00082589" w:rsidP="00082589">
      <w:pPr>
        <w:pStyle w:val="Default"/>
        <w:rPr>
          <w:sz w:val="26"/>
          <w:szCs w:val="26"/>
        </w:rPr>
      </w:pPr>
      <w:r>
        <w:rPr>
          <w:sz w:val="26"/>
          <w:szCs w:val="26"/>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w:t>
      </w:r>
      <w:r w:rsidRPr="00082589">
        <w:rPr>
          <w:sz w:val="26"/>
          <w:szCs w:val="26"/>
        </w:rPr>
        <w:t xml:space="preserve"> </w:t>
      </w:r>
      <w:r>
        <w:rPr>
          <w:sz w:val="26"/>
          <w:szCs w:val="26"/>
        </w:rPr>
        <w:t xml:space="preserve">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082589" w:rsidRDefault="00082589" w:rsidP="00082589">
      <w:pPr>
        <w:pStyle w:val="Default"/>
        <w:rPr>
          <w:sz w:val="26"/>
          <w:szCs w:val="26"/>
        </w:rPr>
      </w:pPr>
      <w:r>
        <w:rPr>
          <w:sz w:val="26"/>
          <w:szCs w:val="26"/>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w:t>
      </w:r>
    </w:p>
    <w:p w:rsidR="00082589" w:rsidRDefault="00082589" w:rsidP="00082589">
      <w:pPr>
        <w:pStyle w:val="Default"/>
        <w:rPr>
          <w:sz w:val="26"/>
          <w:szCs w:val="26"/>
        </w:rPr>
      </w:pPr>
      <w:r>
        <w:rPr>
          <w:sz w:val="26"/>
          <w:szCs w:val="26"/>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082589" w:rsidRDefault="00082589" w:rsidP="00082589">
      <w:pPr>
        <w:pStyle w:val="Default"/>
        <w:rPr>
          <w:sz w:val="26"/>
          <w:szCs w:val="26"/>
        </w:rPr>
      </w:pPr>
      <w:r>
        <w:rPr>
          <w:sz w:val="26"/>
          <w:szCs w:val="26"/>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текущем учебном году, но не более двух раз и только в дополнительные сроки, предусмотренные расписанием проведения итогового сочинения (изложения). </w:t>
      </w:r>
    </w:p>
    <w:p w:rsidR="00082589" w:rsidRDefault="00082589" w:rsidP="00082589">
      <w:pPr>
        <w:pStyle w:val="Default"/>
        <w:rPr>
          <w:sz w:val="28"/>
          <w:szCs w:val="28"/>
        </w:rPr>
      </w:pPr>
      <w:r>
        <w:rPr>
          <w:b/>
          <w:bCs/>
          <w:sz w:val="28"/>
          <w:szCs w:val="28"/>
        </w:rPr>
        <w:t xml:space="preserve"> Повторный допуск к написанию итогового сочинения (изложения) </w:t>
      </w:r>
    </w:p>
    <w:p w:rsidR="00082589" w:rsidRDefault="00082589" w:rsidP="00082589">
      <w:pPr>
        <w:pStyle w:val="Default"/>
        <w:rPr>
          <w:sz w:val="26"/>
          <w:szCs w:val="26"/>
        </w:rPr>
      </w:pPr>
      <w:r>
        <w:rPr>
          <w:sz w:val="26"/>
          <w:szCs w:val="26"/>
        </w:rPr>
        <w:t xml:space="preserve">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 </w:t>
      </w:r>
    </w:p>
    <w:p w:rsidR="00082589" w:rsidRDefault="00082589" w:rsidP="009A3ED0">
      <w:pPr>
        <w:pStyle w:val="Default"/>
        <w:numPr>
          <w:ilvl w:val="0"/>
          <w:numId w:val="1"/>
        </w:numPr>
        <w:rPr>
          <w:sz w:val="26"/>
          <w:szCs w:val="26"/>
        </w:rPr>
      </w:pPr>
      <w:r>
        <w:rPr>
          <w:sz w:val="26"/>
          <w:szCs w:val="26"/>
        </w:rPr>
        <w:t xml:space="preserve">обучающиеся, получившие по итоговому сочинению (изложению) неудовлетворительный результат («незачет»); </w:t>
      </w:r>
    </w:p>
    <w:p w:rsidR="009A3ED0" w:rsidRDefault="00082589" w:rsidP="009A3ED0">
      <w:pPr>
        <w:pStyle w:val="Default"/>
        <w:numPr>
          <w:ilvl w:val="0"/>
          <w:numId w:val="1"/>
        </w:numPr>
        <w:rPr>
          <w:sz w:val="26"/>
          <w:szCs w:val="26"/>
        </w:rPr>
      </w:pPr>
      <w:r>
        <w:rPr>
          <w:sz w:val="26"/>
          <w:szCs w:val="26"/>
        </w:rPr>
        <w:t>обучающиеся, удаленные с итогового сочинения (изло</w:t>
      </w:r>
      <w:r w:rsidR="009A3ED0">
        <w:rPr>
          <w:sz w:val="26"/>
          <w:szCs w:val="26"/>
        </w:rPr>
        <w:t>жения) за нарушение требований к написанию  сочинения</w:t>
      </w:r>
    </w:p>
    <w:p w:rsidR="009A3ED0" w:rsidRDefault="00082589" w:rsidP="00082589">
      <w:pPr>
        <w:pStyle w:val="Default"/>
        <w:numPr>
          <w:ilvl w:val="0"/>
          <w:numId w:val="1"/>
        </w:numPr>
        <w:rPr>
          <w:sz w:val="26"/>
          <w:szCs w:val="26"/>
        </w:rPr>
      </w:pPr>
      <w:r>
        <w:rPr>
          <w:sz w:val="26"/>
          <w:szCs w:val="26"/>
        </w:rPr>
        <w:t>ли</w:t>
      </w:r>
      <w:r w:rsidR="009A3ED0">
        <w:rPr>
          <w:sz w:val="26"/>
          <w:szCs w:val="26"/>
        </w:rPr>
        <w:t>ца</w:t>
      </w:r>
      <w:r>
        <w:rPr>
          <w:sz w:val="26"/>
          <w:szCs w:val="26"/>
        </w:rPr>
        <w:t xml:space="preserve">, не явившиеся на итоговое сочинение (изложение) по уважительным причинам (болезнь или иные обстоятельства), подтвержденным документально; </w:t>
      </w:r>
    </w:p>
    <w:p w:rsidR="00082589" w:rsidRPr="009A3ED0" w:rsidRDefault="00082589" w:rsidP="00082589">
      <w:pPr>
        <w:pStyle w:val="Default"/>
        <w:numPr>
          <w:ilvl w:val="0"/>
          <w:numId w:val="1"/>
        </w:numPr>
        <w:rPr>
          <w:sz w:val="26"/>
          <w:szCs w:val="26"/>
        </w:rPr>
      </w:pPr>
      <w:r w:rsidRPr="009A3ED0">
        <w:rPr>
          <w:sz w:val="26"/>
          <w:szCs w:val="26"/>
        </w:rPr>
        <w:t>обучающи</w:t>
      </w:r>
      <w:r w:rsidR="009A3ED0">
        <w:rPr>
          <w:sz w:val="26"/>
          <w:szCs w:val="26"/>
        </w:rPr>
        <w:t xml:space="preserve">еся, </w:t>
      </w:r>
      <w:r w:rsidRPr="009A3ED0">
        <w:rPr>
          <w:sz w:val="26"/>
          <w:szCs w:val="26"/>
        </w:rPr>
        <w:t xml:space="preserve">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082589" w:rsidRDefault="00082589" w:rsidP="00082589">
      <w:pPr>
        <w:pStyle w:val="Default"/>
        <w:rPr>
          <w:sz w:val="26"/>
          <w:szCs w:val="26"/>
        </w:rPr>
      </w:pPr>
      <w:r>
        <w:rPr>
          <w:sz w:val="26"/>
          <w:szCs w:val="26"/>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 </w:t>
      </w:r>
    </w:p>
    <w:p w:rsidR="00082589" w:rsidRDefault="00082589" w:rsidP="00082589">
      <w:pPr>
        <w:pStyle w:val="Default"/>
        <w:rPr>
          <w:sz w:val="28"/>
          <w:szCs w:val="28"/>
        </w:rPr>
      </w:pPr>
      <w:r>
        <w:rPr>
          <w:b/>
          <w:bCs/>
          <w:sz w:val="28"/>
          <w:szCs w:val="28"/>
        </w:rPr>
        <w:t xml:space="preserve"> Ознакомление с результатами итогового сочинения (изложения) и срок действия итогового сочинения </w:t>
      </w:r>
    </w:p>
    <w:p w:rsidR="00082589" w:rsidRPr="00082589" w:rsidRDefault="00082589" w:rsidP="00082589">
      <w:pPr>
        <w:pStyle w:val="Default"/>
        <w:rPr>
          <w:sz w:val="23"/>
          <w:szCs w:val="23"/>
        </w:rPr>
      </w:pPr>
      <w:r>
        <w:rPr>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w:t>
      </w:r>
      <w:r>
        <w:rPr>
          <w:sz w:val="26"/>
          <w:szCs w:val="26"/>
        </w:rPr>
        <w:lastRenderedPageBreak/>
        <w:t xml:space="preserve">информационно-телекоммуникационной сети «Интернет» в соответствии с требованиями законодательства </w:t>
      </w:r>
      <w:r>
        <w:t xml:space="preserve"> </w:t>
      </w:r>
      <w:r>
        <w:rPr>
          <w:sz w:val="26"/>
          <w:szCs w:val="26"/>
        </w:rPr>
        <w:t xml:space="preserve">Российской Федерации в области защиты персональных данных. </w:t>
      </w:r>
    </w:p>
    <w:p w:rsidR="00082589" w:rsidRDefault="00082589" w:rsidP="00082589">
      <w:pPr>
        <w:pStyle w:val="Default"/>
        <w:rPr>
          <w:sz w:val="26"/>
          <w:szCs w:val="26"/>
        </w:rPr>
      </w:pPr>
      <w:r>
        <w:rPr>
          <w:sz w:val="26"/>
          <w:szCs w:val="26"/>
        </w:rPr>
        <w:t xml:space="preserve">Итоговое сочинение в случае представления его при приеме на </w:t>
      </w:r>
      <w:proofErr w:type="gramStart"/>
      <w:r>
        <w:rPr>
          <w:sz w:val="26"/>
          <w:szCs w:val="26"/>
        </w:rPr>
        <w:t>обучение по программам</w:t>
      </w:r>
      <w:proofErr w:type="gramEnd"/>
      <w:r>
        <w:rPr>
          <w:sz w:val="26"/>
          <w:szCs w:val="26"/>
        </w:rPr>
        <w:t xml:space="preserve">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действительно в течение четырех лет, следующих за годом написания такого сочинения. Итоговое сочинение (изложение) как допу</w:t>
      </w:r>
      <w:proofErr w:type="gramStart"/>
      <w:r>
        <w:rPr>
          <w:sz w:val="26"/>
          <w:szCs w:val="26"/>
        </w:rPr>
        <w:t>ск к ГИ</w:t>
      </w:r>
      <w:proofErr w:type="gramEnd"/>
      <w:r>
        <w:rPr>
          <w:sz w:val="26"/>
          <w:szCs w:val="26"/>
        </w:rPr>
        <w:t xml:space="preserve">А – бессрочно. </w:t>
      </w:r>
    </w:p>
    <w:p w:rsidR="00082589" w:rsidRDefault="00082589" w:rsidP="00082589">
      <w:pPr>
        <w:pStyle w:val="Default"/>
        <w:rPr>
          <w:sz w:val="26"/>
          <w:szCs w:val="26"/>
        </w:rPr>
      </w:pPr>
      <w:r>
        <w:rPr>
          <w:sz w:val="26"/>
          <w:szCs w:val="26"/>
        </w:rPr>
        <w:t xml:space="preserve">Выпускники прошлых лет могут участвовать в итоговом сочинении, в том числе при наличии у них итогового сочинения прошлых лет. </w:t>
      </w:r>
    </w:p>
    <w:p w:rsidR="00CA4BC6" w:rsidRDefault="00082589" w:rsidP="00082589">
      <w:pPr>
        <w:rPr>
          <w:sz w:val="26"/>
          <w:szCs w:val="26"/>
        </w:rPr>
      </w:pPr>
      <w:r>
        <w:rPr>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082589" w:rsidRDefault="00082589" w:rsidP="00082589">
      <w:pPr>
        <w:pStyle w:val="Default"/>
        <w:rPr>
          <w:sz w:val="26"/>
          <w:szCs w:val="26"/>
        </w:rPr>
      </w:pPr>
      <w:proofErr w:type="gramStart"/>
      <w:r>
        <w:rPr>
          <w:sz w:val="26"/>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082589" w:rsidRDefault="00082589" w:rsidP="00082589">
      <w:pPr>
        <w:pStyle w:val="Default"/>
        <w:rPr>
          <w:sz w:val="26"/>
          <w:szCs w:val="26"/>
        </w:rPr>
      </w:pPr>
      <w:proofErr w:type="gramStart"/>
      <w:r>
        <w:rPr>
          <w:sz w:val="26"/>
          <w:szCs w:val="26"/>
        </w:rPr>
        <w:t xml:space="preserve">В соответствии с пунктом 44 Порядка приема на обучение по образовательным программам высшего образования – программам </w:t>
      </w:r>
      <w:proofErr w:type="spellStart"/>
      <w:r>
        <w:rPr>
          <w:sz w:val="26"/>
          <w:szCs w:val="26"/>
        </w:rPr>
        <w:t>бакалавриата</w:t>
      </w:r>
      <w:proofErr w:type="spellEnd"/>
      <w:r>
        <w:rPr>
          <w:sz w:val="26"/>
          <w:szCs w:val="26"/>
        </w:rPr>
        <w:t xml:space="preserve">, программам </w:t>
      </w:r>
      <w:proofErr w:type="spellStart"/>
      <w:r>
        <w:rPr>
          <w:sz w:val="26"/>
          <w:szCs w:val="26"/>
        </w:rPr>
        <w:t>специалитета</w:t>
      </w:r>
      <w:proofErr w:type="spellEnd"/>
      <w:r>
        <w:rPr>
          <w:sz w:val="26"/>
          <w:szCs w:val="26"/>
        </w:rPr>
        <w:t xml:space="preserve">, программам магистратуры, утвержденного приказом </w:t>
      </w:r>
      <w:proofErr w:type="spellStart"/>
      <w:r>
        <w:rPr>
          <w:sz w:val="26"/>
          <w:szCs w:val="26"/>
        </w:rPr>
        <w:t>Минобрнауки</w:t>
      </w:r>
      <w:proofErr w:type="spellEnd"/>
      <w:r>
        <w:rPr>
          <w:sz w:val="26"/>
          <w:szCs w:val="26"/>
        </w:rPr>
        <w:t xml:space="preserve"> России от 14.10.2015 № 1147 (ред. от 31.08.2018) (зарегистрировано в Минюсте России 30.10.2015, регистрационный № 39572), при приеме на обучение по программам </w:t>
      </w:r>
      <w:proofErr w:type="spellStart"/>
      <w:r>
        <w:rPr>
          <w:sz w:val="26"/>
          <w:szCs w:val="26"/>
        </w:rPr>
        <w:t>бакалавриата</w:t>
      </w:r>
      <w:proofErr w:type="spellEnd"/>
      <w:r>
        <w:rPr>
          <w:sz w:val="26"/>
          <w:szCs w:val="26"/>
        </w:rPr>
        <w:t xml:space="preserve">, программам </w:t>
      </w:r>
      <w:proofErr w:type="spellStart"/>
      <w:r>
        <w:rPr>
          <w:sz w:val="26"/>
          <w:szCs w:val="26"/>
        </w:rPr>
        <w:t>специалитета</w:t>
      </w:r>
      <w:proofErr w:type="spellEnd"/>
      <w:r>
        <w:rPr>
          <w:sz w:val="26"/>
          <w:szCs w:val="26"/>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Pr>
          <w:sz w:val="26"/>
          <w:szCs w:val="26"/>
        </w:rPr>
        <w:t xml:space="preserve"> проверки итогового сочинения, являющегося условием допуска к ГИА. </w:t>
      </w:r>
    </w:p>
    <w:p w:rsidR="00082589" w:rsidRDefault="00082589" w:rsidP="00082589">
      <w:pPr>
        <w:rPr>
          <w:sz w:val="26"/>
          <w:szCs w:val="26"/>
        </w:rPr>
      </w:pPr>
      <w:r>
        <w:rPr>
          <w:sz w:val="26"/>
          <w:szCs w:val="26"/>
        </w:rPr>
        <w:t xml:space="preserve">При приеме на </w:t>
      </w:r>
      <w:proofErr w:type="gramStart"/>
      <w:r>
        <w:rPr>
          <w:sz w:val="26"/>
          <w:szCs w:val="26"/>
        </w:rPr>
        <w:t>обучение по программам</w:t>
      </w:r>
      <w:proofErr w:type="gramEnd"/>
      <w:r>
        <w:rPr>
          <w:sz w:val="26"/>
          <w:szCs w:val="26"/>
        </w:rPr>
        <w:t xml:space="preserve"> </w:t>
      </w:r>
      <w:proofErr w:type="spellStart"/>
      <w:r>
        <w:rPr>
          <w:sz w:val="26"/>
          <w:szCs w:val="26"/>
        </w:rPr>
        <w:t>бакалавриата</w:t>
      </w:r>
      <w:proofErr w:type="spellEnd"/>
      <w:r>
        <w:rPr>
          <w:sz w:val="26"/>
          <w:szCs w:val="26"/>
        </w:rPr>
        <w:t xml:space="preserve">, программам </w:t>
      </w:r>
      <w:proofErr w:type="spellStart"/>
      <w:r>
        <w:rPr>
          <w:sz w:val="26"/>
          <w:szCs w:val="26"/>
        </w:rPr>
        <w:t>специалитета</w:t>
      </w:r>
      <w:proofErr w:type="spellEnd"/>
    </w:p>
    <w:p w:rsidR="00082589" w:rsidRDefault="00082589" w:rsidP="00082589">
      <w:pPr>
        <w:pStyle w:val="Default"/>
        <w:rPr>
          <w:sz w:val="26"/>
          <w:szCs w:val="26"/>
        </w:rPr>
      </w:pPr>
      <w:proofErr w:type="gramStart"/>
      <w:r>
        <w:rPr>
          <w:sz w:val="26"/>
          <w:szCs w:val="26"/>
        </w:rPr>
        <w:t>поступающему</w:t>
      </w:r>
      <w:proofErr w:type="gramEnd"/>
      <w:r>
        <w:rPr>
          <w:sz w:val="26"/>
          <w:szCs w:val="26"/>
        </w:rPr>
        <w:t xml:space="preserve"> может быть начислено за индивидуальные достижения не более 10 баллов суммарно. </w:t>
      </w:r>
    </w:p>
    <w:p w:rsidR="00082589" w:rsidRDefault="00082589" w:rsidP="00082589">
      <w:pPr>
        <w:pStyle w:val="Default"/>
        <w:rPr>
          <w:sz w:val="26"/>
          <w:szCs w:val="26"/>
        </w:rPr>
      </w:pPr>
      <w:r>
        <w:rPr>
          <w:sz w:val="26"/>
          <w:szCs w:val="26"/>
        </w:rPr>
        <w:t xml:space="preserve">Перечень индивидуальных достижений, учитываемых при приеме на </w:t>
      </w:r>
      <w:proofErr w:type="gramStart"/>
      <w:r>
        <w:rPr>
          <w:sz w:val="26"/>
          <w:szCs w:val="26"/>
        </w:rPr>
        <w:t>обучение по программам</w:t>
      </w:r>
      <w:proofErr w:type="gramEnd"/>
      <w:r>
        <w:rPr>
          <w:sz w:val="26"/>
          <w:szCs w:val="26"/>
        </w:rPr>
        <w:t xml:space="preserve"> </w:t>
      </w:r>
      <w:proofErr w:type="spellStart"/>
      <w:r>
        <w:rPr>
          <w:sz w:val="26"/>
          <w:szCs w:val="26"/>
        </w:rPr>
        <w:t>бакалавриата</w:t>
      </w:r>
      <w:proofErr w:type="spellEnd"/>
      <w:r>
        <w:rPr>
          <w:sz w:val="26"/>
          <w:szCs w:val="26"/>
        </w:rPr>
        <w:t xml:space="preserve">, программам </w:t>
      </w:r>
      <w:proofErr w:type="spellStart"/>
      <w:r>
        <w:rPr>
          <w:sz w:val="26"/>
          <w:szCs w:val="26"/>
        </w:rPr>
        <w:t>специалитета</w:t>
      </w:r>
      <w:proofErr w:type="spellEnd"/>
      <w:r>
        <w:rPr>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082589" w:rsidRDefault="00082589" w:rsidP="00082589">
      <w:pPr>
        <w:rPr>
          <w:sz w:val="26"/>
          <w:szCs w:val="26"/>
        </w:rPr>
      </w:pPr>
      <w:r>
        <w:rPr>
          <w:sz w:val="26"/>
          <w:szCs w:val="26"/>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082589" w:rsidRDefault="00082589" w:rsidP="00082589">
      <w:pPr>
        <w:pStyle w:val="Default"/>
        <w:rPr>
          <w:sz w:val="28"/>
          <w:szCs w:val="28"/>
        </w:rPr>
      </w:pPr>
      <w:r>
        <w:rPr>
          <w:b/>
          <w:bCs/>
          <w:sz w:val="28"/>
          <w:szCs w:val="28"/>
        </w:rPr>
        <w:t xml:space="preserve">Порядок проведения итогового сочинения (изложения) в месте проведения итогового сочинения (изложения) </w:t>
      </w:r>
    </w:p>
    <w:p w:rsidR="00082589" w:rsidRDefault="00082589" w:rsidP="00082589">
      <w:pPr>
        <w:pStyle w:val="Default"/>
        <w:rPr>
          <w:sz w:val="26"/>
          <w:szCs w:val="26"/>
        </w:rPr>
      </w:pPr>
      <w:r>
        <w:rPr>
          <w:sz w:val="26"/>
          <w:szCs w:val="26"/>
        </w:rPr>
        <w:t xml:space="preserve">В день проведения итогового сочинения (изложения) в месте проведения итогового сочинения (изложения) могут присутствовать: </w:t>
      </w:r>
    </w:p>
    <w:p w:rsidR="00082589" w:rsidRDefault="00082589" w:rsidP="00082589">
      <w:pPr>
        <w:pStyle w:val="Default"/>
        <w:rPr>
          <w:sz w:val="26"/>
          <w:szCs w:val="26"/>
        </w:rPr>
      </w:pPr>
      <w:r>
        <w:rPr>
          <w:sz w:val="26"/>
          <w:szCs w:val="26"/>
        </w:rPr>
        <w:t xml:space="preserve">общественные наблюдатели; </w:t>
      </w:r>
    </w:p>
    <w:p w:rsidR="00082589" w:rsidRDefault="00082589" w:rsidP="00082589">
      <w:pPr>
        <w:pStyle w:val="Default"/>
        <w:rPr>
          <w:sz w:val="26"/>
          <w:szCs w:val="26"/>
        </w:rPr>
      </w:pPr>
      <w:r>
        <w:rPr>
          <w:sz w:val="26"/>
          <w:szCs w:val="26"/>
        </w:rPr>
        <w:t xml:space="preserve">представители средств массовой информации; </w:t>
      </w:r>
    </w:p>
    <w:p w:rsidR="00082589" w:rsidRDefault="00082589" w:rsidP="00082589">
      <w:pPr>
        <w:pStyle w:val="Default"/>
        <w:rPr>
          <w:sz w:val="26"/>
          <w:szCs w:val="26"/>
        </w:rPr>
      </w:pPr>
      <w:r>
        <w:rPr>
          <w:sz w:val="26"/>
          <w:szCs w:val="26"/>
        </w:rPr>
        <w:lastRenderedPageBreak/>
        <w:t xml:space="preserve">должностные лица </w:t>
      </w:r>
      <w:proofErr w:type="spellStart"/>
      <w:r>
        <w:rPr>
          <w:sz w:val="26"/>
          <w:szCs w:val="26"/>
        </w:rPr>
        <w:t>Рособрнадзора</w:t>
      </w:r>
      <w:proofErr w:type="spellEnd"/>
      <w:r>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082589" w:rsidRDefault="00082589" w:rsidP="00082589">
      <w:pPr>
        <w:pStyle w:val="Default"/>
        <w:rPr>
          <w:sz w:val="26"/>
          <w:szCs w:val="26"/>
        </w:rPr>
      </w:pPr>
      <w:r>
        <w:rPr>
          <w:sz w:val="26"/>
          <w:szCs w:val="26"/>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w:t>
      </w:r>
    </w:p>
    <w:p w:rsidR="00082589" w:rsidRDefault="00082589" w:rsidP="00082589">
      <w:pPr>
        <w:pStyle w:val="Default"/>
        <w:rPr>
          <w:sz w:val="26"/>
          <w:szCs w:val="26"/>
        </w:rPr>
      </w:pPr>
      <w:r>
        <w:rPr>
          <w:sz w:val="26"/>
          <w:szCs w:val="26"/>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Pr>
          <w:sz w:val="26"/>
          <w:szCs w:val="26"/>
        </w:rPr>
        <w:t xml:space="preserve">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ОИВ (далее вместе – комиссия по проведению итогового сочинения (изложения). </w:t>
      </w:r>
      <w:proofErr w:type="gramEnd"/>
    </w:p>
    <w:p w:rsidR="00082589" w:rsidRDefault="00082589" w:rsidP="00082589">
      <w:pPr>
        <w:pStyle w:val="Default"/>
        <w:rPr>
          <w:sz w:val="26"/>
          <w:szCs w:val="26"/>
        </w:rPr>
      </w:pPr>
      <w:r>
        <w:rPr>
          <w:sz w:val="26"/>
          <w:szCs w:val="26"/>
        </w:rPr>
        <w:t xml:space="preserve">Итоговое сочинение (изложение) начинается в 10.00 по местному времени. </w:t>
      </w:r>
    </w:p>
    <w:p w:rsidR="00082589" w:rsidRDefault="00082589" w:rsidP="00082589">
      <w:pPr>
        <w:pStyle w:val="Default"/>
        <w:rPr>
          <w:sz w:val="26"/>
          <w:szCs w:val="26"/>
        </w:rPr>
      </w:pPr>
      <w:r>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082589" w:rsidRDefault="00082589" w:rsidP="00082589">
      <w:pPr>
        <w:pStyle w:val="Default"/>
        <w:rPr>
          <w:sz w:val="26"/>
          <w:szCs w:val="26"/>
        </w:rPr>
      </w:pPr>
      <w:r>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F84FF8" w:rsidRDefault="00082589" w:rsidP="00F84FF8">
      <w:pPr>
        <w:pStyle w:val="Default"/>
        <w:rPr>
          <w:sz w:val="26"/>
          <w:szCs w:val="26"/>
        </w:rPr>
      </w:pPr>
      <w:r>
        <w:rPr>
          <w:sz w:val="26"/>
          <w:szCs w:val="26"/>
        </w:rPr>
        <w:t xml:space="preserve">Инструктаж состоит из двух частей. </w:t>
      </w:r>
      <w:proofErr w:type="gramStart"/>
      <w:r>
        <w:rPr>
          <w:sz w:val="26"/>
          <w:szCs w:val="26"/>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w:t>
      </w:r>
      <w:r w:rsidR="00F84FF8" w:rsidRPr="00F84FF8">
        <w:rPr>
          <w:sz w:val="26"/>
          <w:szCs w:val="26"/>
        </w:rPr>
        <w:t xml:space="preserve"> </w:t>
      </w:r>
      <w:r w:rsidR="00F84FF8">
        <w:rPr>
          <w:sz w:val="26"/>
          <w:szCs w:val="26"/>
        </w:rPr>
        <w:t>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00F84FF8">
        <w:rPr>
          <w:sz w:val="26"/>
          <w:szCs w:val="26"/>
        </w:rPr>
        <w:t xml:space="preserve"> на листах бумаги для черновиков не обрабатываются и не проверяются. </w:t>
      </w:r>
    </w:p>
    <w:p w:rsidR="00F84FF8" w:rsidRDefault="00F84FF8" w:rsidP="00F84FF8">
      <w:pPr>
        <w:pStyle w:val="Default"/>
        <w:rPr>
          <w:sz w:val="26"/>
          <w:szCs w:val="26"/>
        </w:rPr>
      </w:pPr>
      <w:r>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w:t>
      </w:r>
      <w:r w:rsidR="009A3ED0">
        <w:rPr>
          <w:sz w:val="26"/>
          <w:szCs w:val="26"/>
        </w:rPr>
        <w:t>зложения).</w:t>
      </w:r>
    </w:p>
    <w:p w:rsidR="00F84FF8" w:rsidRDefault="00F84FF8" w:rsidP="00F84FF8">
      <w:pPr>
        <w:pStyle w:val="Default"/>
        <w:rPr>
          <w:sz w:val="26"/>
          <w:szCs w:val="26"/>
        </w:rPr>
      </w:pPr>
      <w:r>
        <w:rPr>
          <w:sz w:val="26"/>
          <w:szCs w:val="26"/>
        </w:rPr>
        <w:t>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w:t>
      </w:r>
      <w:proofErr w:type="gramStart"/>
      <w:r>
        <w:rPr>
          <w:sz w:val="26"/>
          <w:szCs w:val="26"/>
        </w:rPr>
        <w:t>кст дл</w:t>
      </w:r>
      <w:proofErr w:type="gramEnd"/>
      <w:r>
        <w:rPr>
          <w:sz w:val="26"/>
          <w:szCs w:val="26"/>
        </w:rPr>
        <w:t xml:space="preserve">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 </w:t>
      </w:r>
    </w:p>
    <w:p w:rsidR="00F84FF8" w:rsidRDefault="00F84FF8" w:rsidP="00F84FF8">
      <w:pPr>
        <w:pStyle w:val="Default"/>
        <w:rPr>
          <w:sz w:val="26"/>
          <w:szCs w:val="26"/>
        </w:rPr>
      </w:pPr>
      <w:r>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 </w:t>
      </w:r>
    </w:p>
    <w:p w:rsidR="00F84FF8" w:rsidRDefault="00F84FF8" w:rsidP="00F84FF8">
      <w:pPr>
        <w:pStyle w:val="Default"/>
        <w:rPr>
          <w:sz w:val="26"/>
          <w:szCs w:val="26"/>
        </w:rPr>
      </w:pPr>
      <w:r>
        <w:rPr>
          <w:sz w:val="26"/>
          <w:szCs w:val="26"/>
        </w:rPr>
        <w:lastRenderedPageBreak/>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r>
        <w:rPr>
          <w:sz w:val="17"/>
          <w:szCs w:val="17"/>
        </w:rPr>
        <w:t>1</w:t>
      </w:r>
      <w:r>
        <w:rPr>
          <w:sz w:val="26"/>
          <w:szCs w:val="26"/>
        </w:rPr>
        <w:t xml:space="preserve">. В бланке записи участники итогового сочинения (изложения) переписывают название выбранной ими темы сочинения (текста для изложения). </w:t>
      </w:r>
    </w:p>
    <w:p w:rsidR="00F84FF8" w:rsidRDefault="00F84FF8" w:rsidP="00F84FF8">
      <w:pPr>
        <w:pStyle w:val="Default"/>
        <w:rPr>
          <w:sz w:val="26"/>
          <w:szCs w:val="26"/>
        </w:rPr>
      </w:pPr>
      <w:proofErr w:type="gramStart"/>
      <w:r>
        <w:rPr>
          <w:sz w:val="26"/>
          <w:szCs w:val="26"/>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 </w:t>
      </w:r>
      <w:proofErr w:type="gramEnd"/>
    </w:p>
    <w:p w:rsidR="00F84FF8" w:rsidRPr="00F84FF8" w:rsidRDefault="00F84FF8" w:rsidP="00F84FF8">
      <w:pPr>
        <w:pStyle w:val="Default"/>
        <w:rPr>
          <w:b/>
          <w:sz w:val="26"/>
          <w:szCs w:val="26"/>
          <w:u w:val="single"/>
        </w:rPr>
      </w:pPr>
      <w:r>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Pr>
          <w:sz w:val="17"/>
          <w:szCs w:val="17"/>
        </w:rPr>
        <w:t xml:space="preserve"> </w:t>
      </w:r>
      <w:r>
        <w:rPr>
          <w:sz w:val="26"/>
          <w:szCs w:val="26"/>
        </w:rPr>
        <w:t>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r w:rsidRPr="00F84FF8">
        <w:rPr>
          <w:sz w:val="26"/>
          <w:szCs w:val="26"/>
        </w:rPr>
        <w:t xml:space="preserve"> </w:t>
      </w:r>
      <w:r>
        <w:rPr>
          <w:sz w:val="26"/>
          <w:szCs w:val="26"/>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r w:rsidRPr="00F84FF8">
        <w:rPr>
          <w:b/>
          <w:sz w:val="26"/>
          <w:szCs w:val="26"/>
          <w:u w:val="single"/>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F84FF8" w:rsidRPr="00F84FF8" w:rsidRDefault="00F84FF8" w:rsidP="00F84FF8">
      <w:pPr>
        <w:pStyle w:val="Default"/>
        <w:rPr>
          <w:b/>
          <w:sz w:val="26"/>
          <w:szCs w:val="26"/>
          <w:u w:val="single"/>
        </w:rPr>
      </w:pPr>
      <w:r w:rsidRPr="00F84FF8">
        <w:rPr>
          <w:b/>
          <w:sz w:val="26"/>
          <w:szCs w:val="26"/>
          <w:u w:val="single"/>
        </w:rPr>
        <w:t>ручка (</w:t>
      </w:r>
      <w:proofErr w:type="spellStart"/>
      <w:r w:rsidRPr="00F84FF8">
        <w:rPr>
          <w:b/>
          <w:sz w:val="26"/>
          <w:szCs w:val="26"/>
          <w:u w:val="single"/>
        </w:rPr>
        <w:t>гелевая</w:t>
      </w:r>
      <w:proofErr w:type="spellEnd"/>
      <w:r w:rsidRPr="00F84FF8">
        <w:rPr>
          <w:b/>
          <w:sz w:val="26"/>
          <w:szCs w:val="26"/>
          <w:u w:val="single"/>
        </w:rPr>
        <w:t xml:space="preserve"> или капиллярная с чернилами </w:t>
      </w:r>
      <w:proofErr w:type="gramStart"/>
      <w:r w:rsidRPr="00F84FF8">
        <w:rPr>
          <w:b/>
          <w:sz w:val="26"/>
          <w:szCs w:val="26"/>
          <w:u w:val="single"/>
        </w:rPr>
        <w:t>ч</w:t>
      </w:r>
      <w:proofErr w:type="gramEnd"/>
      <w:r w:rsidRPr="00F84FF8">
        <w:rPr>
          <w:rFonts w:ascii="Cambria Math" w:hAnsi="Cambria Math" w:cs="Cambria Math"/>
          <w:b/>
          <w:sz w:val="26"/>
          <w:szCs w:val="26"/>
          <w:u w:val="single"/>
        </w:rPr>
        <w:t>ѐ</w:t>
      </w:r>
      <w:r w:rsidRPr="00F84FF8">
        <w:rPr>
          <w:b/>
          <w:sz w:val="26"/>
          <w:szCs w:val="26"/>
          <w:u w:val="single"/>
        </w:rPr>
        <w:t xml:space="preserve">рного цвета); </w:t>
      </w:r>
    </w:p>
    <w:p w:rsidR="00F84FF8" w:rsidRPr="00F84FF8" w:rsidRDefault="00F84FF8" w:rsidP="00F84FF8">
      <w:pPr>
        <w:pStyle w:val="Default"/>
        <w:rPr>
          <w:b/>
          <w:sz w:val="26"/>
          <w:szCs w:val="26"/>
          <w:u w:val="single"/>
        </w:rPr>
      </w:pPr>
      <w:r w:rsidRPr="00F84FF8">
        <w:rPr>
          <w:b/>
          <w:sz w:val="26"/>
          <w:szCs w:val="26"/>
          <w:u w:val="single"/>
        </w:rPr>
        <w:t xml:space="preserve">документ, удостоверяющий личность; </w:t>
      </w:r>
    </w:p>
    <w:p w:rsidR="00F84FF8" w:rsidRPr="00F84FF8" w:rsidRDefault="00F84FF8" w:rsidP="00F84FF8">
      <w:pPr>
        <w:pStyle w:val="Default"/>
        <w:rPr>
          <w:b/>
          <w:sz w:val="26"/>
          <w:szCs w:val="26"/>
          <w:u w:val="single"/>
        </w:rPr>
      </w:pPr>
      <w:r w:rsidRPr="00F84FF8">
        <w:rPr>
          <w:b/>
          <w:sz w:val="26"/>
          <w:szCs w:val="26"/>
          <w:u w:val="single"/>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по проведению итогового сочинения (изложения); </w:t>
      </w:r>
    </w:p>
    <w:p w:rsidR="00F84FF8" w:rsidRPr="00F84FF8" w:rsidRDefault="00F84FF8" w:rsidP="00F84FF8">
      <w:pPr>
        <w:pStyle w:val="Default"/>
        <w:rPr>
          <w:b/>
          <w:sz w:val="26"/>
          <w:szCs w:val="26"/>
          <w:u w:val="single"/>
        </w:rPr>
      </w:pPr>
      <w:r w:rsidRPr="00F84FF8">
        <w:rPr>
          <w:b/>
          <w:sz w:val="26"/>
          <w:szCs w:val="26"/>
          <w:u w:val="single"/>
        </w:rPr>
        <w:t xml:space="preserve">инструкция для участника итогового сочинения (изложения); </w:t>
      </w:r>
    </w:p>
    <w:p w:rsidR="00F84FF8" w:rsidRPr="00F84FF8" w:rsidRDefault="00F84FF8" w:rsidP="00F84FF8">
      <w:pPr>
        <w:pStyle w:val="Default"/>
        <w:rPr>
          <w:b/>
          <w:sz w:val="26"/>
          <w:szCs w:val="26"/>
          <w:u w:val="single"/>
        </w:rPr>
      </w:pPr>
      <w:r w:rsidRPr="00F84FF8">
        <w:rPr>
          <w:b/>
          <w:sz w:val="26"/>
          <w:szCs w:val="26"/>
          <w:u w:val="single"/>
        </w:rPr>
        <w:t xml:space="preserve">листы бумаги для черновиков; </w:t>
      </w:r>
    </w:p>
    <w:p w:rsidR="00F84FF8" w:rsidRPr="00F84FF8" w:rsidRDefault="00F84FF8" w:rsidP="00F84FF8">
      <w:pPr>
        <w:pStyle w:val="Default"/>
        <w:rPr>
          <w:b/>
          <w:sz w:val="26"/>
          <w:szCs w:val="26"/>
          <w:u w:val="single"/>
        </w:rPr>
      </w:pPr>
      <w:r w:rsidRPr="00F84FF8">
        <w:rPr>
          <w:b/>
          <w:sz w:val="26"/>
          <w:szCs w:val="26"/>
          <w:u w:val="single"/>
        </w:rPr>
        <w:t xml:space="preserve">специальные технические средства (для участников с ОВЗ, детей-инвалидов, инвалидов). </w:t>
      </w:r>
    </w:p>
    <w:p w:rsidR="00082589" w:rsidRDefault="00F84FF8" w:rsidP="00F84FF8">
      <w:pPr>
        <w:rPr>
          <w:sz w:val="26"/>
          <w:szCs w:val="26"/>
        </w:rPr>
      </w:pPr>
      <w:r>
        <w:rPr>
          <w:sz w:val="26"/>
          <w:szCs w:val="26"/>
        </w:rPr>
        <w:t xml:space="preserve">Во время проведения итогового сочинения (изложения) участникам итогового сочинения (изложения) </w:t>
      </w:r>
      <w:r>
        <w:rPr>
          <w:b/>
          <w:bCs/>
          <w:sz w:val="26"/>
          <w:szCs w:val="26"/>
        </w:rPr>
        <w:t xml:space="preserve">запрещено </w:t>
      </w:r>
      <w:r>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F84FF8" w:rsidRDefault="00F84FF8" w:rsidP="00F84FF8"/>
    <w:p w:rsidR="00F84FF8" w:rsidRDefault="00F84FF8" w:rsidP="00F84FF8">
      <w:pPr>
        <w:pStyle w:val="Default"/>
        <w:rPr>
          <w:sz w:val="26"/>
          <w:szCs w:val="26"/>
        </w:rPr>
      </w:pPr>
      <w:r>
        <w:rPr>
          <w:sz w:val="26"/>
          <w:szCs w:val="26"/>
        </w:rPr>
        <w:lastRenderedPageBreak/>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
    <w:p w:rsidR="00F84FF8" w:rsidRDefault="00F84FF8" w:rsidP="00F84FF8">
      <w:pPr>
        <w:rPr>
          <w:sz w:val="26"/>
          <w:szCs w:val="26"/>
        </w:rPr>
      </w:pPr>
      <w:r>
        <w:rPr>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w:t>
      </w:r>
    </w:p>
    <w:p w:rsidR="00F84FF8" w:rsidRDefault="00F84FF8" w:rsidP="00F84FF8">
      <w:pPr>
        <w:pStyle w:val="Default"/>
        <w:rPr>
          <w:sz w:val="26"/>
          <w:szCs w:val="26"/>
        </w:rPr>
      </w:pPr>
      <w:r>
        <w:rPr>
          <w:sz w:val="26"/>
          <w:szCs w:val="26"/>
        </w:rPr>
        <w:t xml:space="preserve">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F84FF8" w:rsidRDefault="00F84FF8" w:rsidP="00F84FF8">
      <w:pPr>
        <w:pStyle w:val="Default"/>
        <w:rPr>
          <w:sz w:val="26"/>
          <w:szCs w:val="26"/>
        </w:rPr>
      </w:pPr>
      <w:proofErr w:type="gramStart"/>
      <w:r>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F84FF8" w:rsidRDefault="00F84FF8" w:rsidP="00F84FF8">
      <w:pPr>
        <w:pStyle w:val="Default"/>
        <w:rPr>
          <w:sz w:val="26"/>
          <w:szCs w:val="26"/>
        </w:rPr>
      </w:pPr>
      <w:r>
        <w:rPr>
          <w:sz w:val="26"/>
          <w:szCs w:val="26"/>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w:t>
      </w:r>
      <w:r>
        <w:rPr>
          <w:sz w:val="23"/>
          <w:szCs w:val="23"/>
        </w:rPr>
        <w:t>(</w:t>
      </w:r>
      <w:r>
        <w:rPr>
          <w:sz w:val="26"/>
          <w:szCs w:val="26"/>
        </w:rPr>
        <w:t xml:space="preserve">дополнительные бланки записи), листы бумаги для черновиков. </w:t>
      </w:r>
    </w:p>
    <w:p w:rsidR="00F84FF8" w:rsidRDefault="00F84FF8" w:rsidP="00F84FF8">
      <w:pPr>
        <w:pStyle w:val="Default"/>
        <w:rPr>
          <w:sz w:val="26"/>
          <w:szCs w:val="26"/>
        </w:rPr>
      </w:pPr>
      <w:r>
        <w:rPr>
          <w:sz w:val="26"/>
          <w:szCs w:val="26"/>
        </w:rPr>
        <w:t xml:space="preserve">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 </w:t>
      </w:r>
    </w:p>
    <w:p w:rsidR="00F84FF8" w:rsidRDefault="00F84FF8" w:rsidP="00F84FF8">
      <w:pPr>
        <w:pStyle w:val="Default"/>
        <w:rPr>
          <w:sz w:val="26"/>
          <w:szCs w:val="26"/>
        </w:rPr>
      </w:pPr>
      <w:r>
        <w:rPr>
          <w:sz w:val="26"/>
          <w:szCs w:val="26"/>
        </w:rPr>
        <w:t xml:space="preserve">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F84FF8" w:rsidRDefault="00F84FF8" w:rsidP="00F84FF8">
      <w:pPr>
        <w:rPr>
          <w:sz w:val="26"/>
          <w:szCs w:val="26"/>
        </w:rPr>
      </w:pPr>
      <w:r>
        <w:rPr>
          <w:sz w:val="26"/>
          <w:szCs w:val="26"/>
        </w:rPr>
        <w:t>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r w:rsidR="001D356E">
        <w:rPr>
          <w:sz w:val="26"/>
          <w:szCs w:val="26"/>
        </w:rPr>
        <w:t>.</w:t>
      </w:r>
    </w:p>
    <w:p w:rsidR="001D356E" w:rsidRPr="001D356E" w:rsidRDefault="009A3ED0" w:rsidP="001D356E">
      <w:pPr>
        <w:pStyle w:val="Default"/>
        <w:rPr>
          <w:b/>
          <w:sz w:val="26"/>
          <w:szCs w:val="26"/>
          <w:u w:val="single"/>
        </w:rPr>
      </w:pPr>
      <w:r>
        <w:rPr>
          <w:b/>
          <w:sz w:val="26"/>
          <w:szCs w:val="26"/>
          <w:u w:val="single"/>
        </w:rPr>
        <w:t xml:space="preserve">В 2019/20 </w:t>
      </w:r>
      <w:r w:rsidR="001D356E" w:rsidRPr="001D356E">
        <w:rPr>
          <w:b/>
          <w:sz w:val="26"/>
          <w:szCs w:val="26"/>
          <w:u w:val="single"/>
        </w:rPr>
        <w:t xml:space="preserve"> учебном году объявлены следующие пять открытых тематических направлений итогового сочинения, а также комментарии к ним: </w:t>
      </w:r>
    </w:p>
    <w:p w:rsidR="001D356E" w:rsidRDefault="001D356E" w:rsidP="001D356E">
      <w:pPr>
        <w:pStyle w:val="Default"/>
        <w:spacing w:after="79"/>
        <w:rPr>
          <w:sz w:val="26"/>
          <w:szCs w:val="26"/>
        </w:rPr>
      </w:pPr>
      <w:r>
        <w:rPr>
          <w:sz w:val="20"/>
          <w:szCs w:val="20"/>
        </w:rPr>
        <w:t xml:space="preserve">1. </w:t>
      </w:r>
      <w:r>
        <w:rPr>
          <w:sz w:val="26"/>
          <w:szCs w:val="26"/>
        </w:rPr>
        <w:t xml:space="preserve">Отцы и дети </w:t>
      </w:r>
    </w:p>
    <w:p w:rsidR="001D356E" w:rsidRDefault="001D356E" w:rsidP="001D356E">
      <w:pPr>
        <w:pStyle w:val="Default"/>
        <w:spacing w:after="79"/>
        <w:rPr>
          <w:sz w:val="26"/>
          <w:szCs w:val="26"/>
        </w:rPr>
      </w:pPr>
      <w:r>
        <w:rPr>
          <w:sz w:val="20"/>
          <w:szCs w:val="20"/>
        </w:rPr>
        <w:t xml:space="preserve">2. </w:t>
      </w:r>
      <w:r>
        <w:rPr>
          <w:sz w:val="26"/>
          <w:szCs w:val="26"/>
        </w:rPr>
        <w:t xml:space="preserve">Мечта и реальность </w:t>
      </w:r>
    </w:p>
    <w:p w:rsidR="001D356E" w:rsidRDefault="001D356E" w:rsidP="001D356E">
      <w:pPr>
        <w:pStyle w:val="Default"/>
        <w:spacing w:after="79"/>
        <w:rPr>
          <w:sz w:val="26"/>
          <w:szCs w:val="26"/>
        </w:rPr>
      </w:pPr>
      <w:r>
        <w:rPr>
          <w:sz w:val="20"/>
          <w:szCs w:val="20"/>
        </w:rPr>
        <w:t xml:space="preserve">3. </w:t>
      </w:r>
      <w:r>
        <w:rPr>
          <w:sz w:val="26"/>
          <w:szCs w:val="26"/>
        </w:rPr>
        <w:t xml:space="preserve">Месть и великодушие </w:t>
      </w:r>
    </w:p>
    <w:p w:rsidR="001D356E" w:rsidRDefault="001D356E" w:rsidP="001D356E">
      <w:pPr>
        <w:pStyle w:val="Default"/>
        <w:spacing w:after="79"/>
        <w:rPr>
          <w:sz w:val="26"/>
          <w:szCs w:val="26"/>
        </w:rPr>
      </w:pPr>
      <w:r>
        <w:rPr>
          <w:sz w:val="20"/>
          <w:szCs w:val="20"/>
        </w:rPr>
        <w:t xml:space="preserve">4. </w:t>
      </w:r>
      <w:r>
        <w:rPr>
          <w:sz w:val="26"/>
          <w:szCs w:val="26"/>
        </w:rPr>
        <w:t xml:space="preserve">Искусство и ремесло </w:t>
      </w:r>
    </w:p>
    <w:p w:rsidR="001D356E" w:rsidRDefault="001D356E" w:rsidP="001D356E">
      <w:pPr>
        <w:pStyle w:val="Default"/>
        <w:rPr>
          <w:sz w:val="26"/>
          <w:szCs w:val="26"/>
        </w:rPr>
      </w:pPr>
      <w:r>
        <w:rPr>
          <w:sz w:val="20"/>
          <w:szCs w:val="20"/>
        </w:rPr>
        <w:t xml:space="preserve">5. </w:t>
      </w:r>
      <w:r>
        <w:rPr>
          <w:sz w:val="26"/>
          <w:szCs w:val="26"/>
        </w:rPr>
        <w:t xml:space="preserve">Доброта и жестокость. </w:t>
      </w:r>
    </w:p>
    <w:p w:rsidR="001D356E" w:rsidRDefault="001D356E" w:rsidP="001D356E">
      <w:pPr>
        <w:pStyle w:val="Default"/>
        <w:rPr>
          <w:sz w:val="26"/>
          <w:szCs w:val="26"/>
        </w:rPr>
      </w:pPr>
    </w:p>
    <w:p w:rsidR="001D356E" w:rsidRDefault="001D356E" w:rsidP="001D356E">
      <w:pPr>
        <w:rPr>
          <w:sz w:val="26"/>
          <w:szCs w:val="26"/>
        </w:rPr>
      </w:pPr>
      <w:r>
        <w:rPr>
          <w:sz w:val="26"/>
          <w:szCs w:val="26"/>
        </w:rPr>
        <w:lastRenderedPageBreak/>
        <w:t>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p>
    <w:p w:rsidR="00515EF8" w:rsidRDefault="00515EF8" w:rsidP="00515EF8">
      <w:pPr>
        <w:pStyle w:val="Default"/>
        <w:rPr>
          <w:sz w:val="26"/>
          <w:szCs w:val="26"/>
        </w:rPr>
      </w:pPr>
      <w:r>
        <w:rPr>
          <w:b/>
          <w:bCs/>
          <w:sz w:val="26"/>
          <w:szCs w:val="26"/>
        </w:rPr>
        <w:t xml:space="preserve">К проверке по критериям оценивания, разработанным </w:t>
      </w:r>
      <w:proofErr w:type="spellStart"/>
      <w:r>
        <w:rPr>
          <w:b/>
          <w:bCs/>
          <w:sz w:val="26"/>
          <w:szCs w:val="26"/>
        </w:rPr>
        <w:t>Рособрнадзором</w:t>
      </w:r>
      <w:proofErr w:type="spellEnd"/>
      <w:r>
        <w:rPr>
          <w:b/>
          <w:bCs/>
          <w:sz w:val="26"/>
          <w:szCs w:val="26"/>
        </w:rPr>
        <w:t xml:space="preserve">, допускаются итоговые сочинения (изложения), соответствующие установленным требованиям: </w:t>
      </w:r>
    </w:p>
    <w:p w:rsidR="00515EF8" w:rsidRDefault="00515EF8" w:rsidP="00515EF8">
      <w:pPr>
        <w:pStyle w:val="Default"/>
        <w:rPr>
          <w:sz w:val="26"/>
          <w:szCs w:val="26"/>
        </w:rPr>
      </w:pPr>
      <w:r>
        <w:rPr>
          <w:b/>
          <w:bCs/>
          <w:sz w:val="26"/>
          <w:szCs w:val="26"/>
        </w:rPr>
        <w:t xml:space="preserve">Требования к сочинению: </w:t>
      </w:r>
    </w:p>
    <w:p w:rsidR="00515EF8" w:rsidRDefault="00515EF8" w:rsidP="00515EF8">
      <w:pPr>
        <w:pStyle w:val="Default"/>
        <w:rPr>
          <w:sz w:val="26"/>
          <w:szCs w:val="26"/>
        </w:rPr>
      </w:pPr>
      <w:r>
        <w:rPr>
          <w:b/>
          <w:bCs/>
          <w:sz w:val="26"/>
          <w:szCs w:val="26"/>
        </w:rPr>
        <w:t xml:space="preserve">Требование № 1. «Объем итогового сочинения (изложения)» </w:t>
      </w:r>
    </w:p>
    <w:p w:rsidR="00515EF8" w:rsidRDefault="00515EF8" w:rsidP="00515EF8">
      <w:pPr>
        <w:pStyle w:val="Default"/>
        <w:rPr>
          <w:sz w:val="26"/>
          <w:szCs w:val="26"/>
        </w:rPr>
      </w:pPr>
      <w:r>
        <w:rPr>
          <w:sz w:val="26"/>
          <w:szCs w:val="26"/>
        </w:rPr>
        <w:t xml:space="preserve">Рекомендуемое количество слов – от 350. </w:t>
      </w:r>
    </w:p>
    <w:p w:rsidR="00515EF8" w:rsidRDefault="00515EF8" w:rsidP="00515EF8">
      <w:pPr>
        <w:pStyle w:val="Default"/>
        <w:rPr>
          <w:sz w:val="23"/>
          <w:szCs w:val="23"/>
        </w:rPr>
      </w:pPr>
      <w:r>
        <w:rPr>
          <w:sz w:val="26"/>
          <w:szCs w:val="26"/>
        </w:rPr>
        <w:t>Максимальное количество слов в сочинении не устанавливается. Если в сочинении менее 250 слов (в подсч</w:t>
      </w:r>
      <w:r>
        <w:rPr>
          <w:rFonts w:ascii="Cambria Math" w:hAnsi="Cambria Math" w:cs="Cambria Math"/>
          <w:sz w:val="26"/>
          <w:szCs w:val="26"/>
        </w:rPr>
        <w:t>ѐ</w:t>
      </w:r>
      <w:r>
        <w:rPr>
          <w:sz w:val="26"/>
          <w:szCs w:val="26"/>
        </w:rPr>
        <w:t xml:space="preserve">т включаются все слова, в том числе и служебные), то </w:t>
      </w:r>
      <w:r>
        <w:rPr>
          <w:sz w:val="23"/>
          <w:szCs w:val="23"/>
        </w:rPr>
        <w:t xml:space="preserve">20 </w:t>
      </w:r>
    </w:p>
    <w:p w:rsidR="00515EF8" w:rsidRDefault="00515EF8" w:rsidP="00515EF8">
      <w:pPr>
        <w:pStyle w:val="Default"/>
        <w:rPr>
          <w:sz w:val="26"/>
          <w:szCs w:val="26"/>
        </w:rPr>
      </w:pPr>
      <w:r>
        <w:rPr>
          <w:sz w:val="26"/>
          <w:szCs w:val="26"/>
        </w:rPr>
        <w:t xml:space="preserve">выставляется «незачет» за невыполнение требования № 1 и «незачет» за работу в целом (такое сочинение не проверяется по критериям оценивания). </w:t>
      </w:r>
    </w:p>
    <w:p w:rsidR="00515EF8" w:rsidRDefault="00515EF8" w:rsidP="00515EF8">
      <w:pPr>
        <w:pStyle w:val="Default"/>
        <w:rPr>
          <w:sz w:val="26"/>
          <w:szCs w:val="26"/>
        </w:rPr>
      </w:pPr>
      <w:r>
        <w:rPr>
          <w:b/>
          <w:bCs/>
          <w:sz w:val="26"/>
          <w:szCs w:val="26"/>
        </w:rPr>
        <w:t xml:space="preserve">Требование № 2. «Самостоятельность написания итогового сочинения (изложения)» </w:t>
      </w:r>
    </w:p>
    <w:p w:rsidR="00515EF8" w:rsidRDefault="00515EF8" w:rsidP="00515EF8">
      <w:pPr>
        <w:pStyle w:val="Default"/>
        <w:rPr>
          <w:sz w:val="26"/>
          <w:szCs w:val="26"/>
        </w:rPr>
      </w:pPr>
      <w:r>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515EF8" w:rsidRDefault="00515EF8" w:rsidP="00515EF8">
      <w:pPr>
        <w:pStyle w:val="Default"/>
        <w:rPr>
          <w:sz w:val="26"/>
          <w:szCs w:val="26"/>
        </w:rPr>
      </w:pPr>
      <w:r>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515EF8" w:rsidRDefault="00515EF8" w:rsidP="00515EF8">
      <w:pPr>
        <w:pStyle w:val="Default"/>
        <w:rPr>
          <w:sz w:val="26"/>
          <w:szCs w:val="26"/>
        </w:rPr>
      </w:pPr>
      <w:r>
        <w:rPr>
          <w:sz w:val="26"/>
          <w:szCs w:val="26"/>
        </w:rP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515EF8" w:rsidRDefault="00515EF8" w:rsidP="00515EF8">
      <w:pPr>
        <w:pStyle w:val="Default"/>
        <w:rPr>
          <w:color w:val="auto"/>
        </w:rPr>
      </w:pPr>
      <w:r>
        <w:rPr>
          <w:b/>
          <w:bCs/>
          <w:sz w:val="26"/>
          <w:szCs w:val="26"/>
        </w:rPr>
        <w:t xml:space="preserve"> </w:t>
      </w:r>
    </w:p>
    <w:tbl>
      <w:tblPr>
        <w:tblW w:w="0" w:type="auto"/>
        <w:tblBorders>
          <w:top w:val="nil"/>
          <w:left w:val="nil"/>
          <w:bottom w:val="nil"/>
          <w:right w:val="nil"/>
        </w:tblBorders>
        <w:tblLayout w:type="fixed"/>
        <w:tblLook w:val="0000"/>
      </w:tblPr>
      <w:tblGrid>
        <w:gridCol w:w="8274"/>
      </w:tblGrid>
      <w:tr w:rsidR="00515EF8" w:rsidTr="00515EF8">
        <w:trPr>
          <w:trHeight w:val="115"/>
        </w:trPr>
        <w:tc>
          <w:tcPr>
            <w:tcW w:w="8274" w:type="dxa"/>
          </w:tcPr>
          <w:p w:rsidR="00515EF8" w:rsidRDefault="00515EF8">
            <w:pPr>
              <w:pStyle w:val="Default"/>
              <w:rPr>
                <w:sz w:val="26"/>
                <w:szCs w:val="26"/>
              </w:rPr>
            </w:pPr>
            <w:r>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515EF8" w:rsidRDefault="00515EF8">
            <w:pPr>
              <w:pStyle w:val="Default"/>
              <w:rPr>
                <w:sz w:val="26"/>
                <w:szCs w:val="26"/>
              </w:rPr>
            </w:pPr>
            <w:r>
              <w:rPr>
                <w:sz w:val="26"/>
                <w:szCs w:val="26"/>
              </w:rPr>
              <w:t xml:space="preserve"> </w:t>
            </w:r>
            <w:r>
              <w:rPr>
                <w:b/>
                <w:bCs/>
                <w:sz w:val="26"/>
                <w:szCs w:val="26"/>
              </w:rPr>
              <w:t xml:space="preserve">Сочинение </w:t>
            </w:r>
          </w:p>
          <w:p w:rsidR="00515EF8" w:rsidRDefault="00515EF8">
            <w:pPr>
              <w:pStyle w:val="Default"/>
              <w:rPr>
                <w:sz w:val="26"/>
                <w:szCs w:val="26"/>
              </w:rPr>
            </w:pPr>
            <w:r>
              <w:rPr>
                <w:b/>
                <w:bCs/>
                <w:sz w:val="26"/>
                <w:szCs w:val="26"/>
              </w:rPr>
              <w:t xml:space="preserve"> </w:t>
            </w:r>
          </w:p>
        </w:tc>
      </w:tr>
      <w:tr w:rsidR="00515EF8" w:rsidTr="00515EF8">
        <w:trPr>
          <w:trHeight w:val="3588"/>
        </w:trPr>
        <w:tc>
          <w:tcPr>
            <w:tcW w:w="8274" w:type="dxa"/>
          </w:tcPr>
          <w:p w:rsidR="00515EF8" w:rsidRDefault="00515EF8">
            <w:pPr>
              <w:pStyle w:val="Default"/>
              <w:rPr>
                <w:sz w:val="26"/>
                <w:szCs w:val="26"/>
              </w:rPr>
            </w:pPr>
            <w:r>
              <w:rPr>
                <w:sz w:val="26"/>
                <w:szCs w:val="26"/>
              </w:rPr>
              <w:t xml:space="preserve">1. Соответствие теме </w:t>
            </w:r>
          </w:p>
          <w:p w:rsidR="00515EF8" w:rsidRDefault="00515EF8">
            <w:pPr>
              <w:pStyle w:val="Default"/>
              <w:rPr>
                <w:sz w:val="26"/>
                <w:szCs w:val="26"/>
              </w:rPr>
            </w:pPr>
            <w:r>
              <w:rPr>
                <w:sz w:val="26"/>
                <w:szCs w:val="26"/>
              </w:rPr>
              <w:t xml:space="preserve"> </w:t>
            </w:r>
          </w:p>
          <w:p w:rsidR="00515EF8" w:rsidRDefault="00515EF8">
            <w:pPr>
              <w:pStyle w:val="Default"/>
              <w:rPr>
                <w:sz w:val="26"/>
                <w:szCs w:val="26"/>
              </w:rPr>
            </w:pPr>
            <w:r>
              <w:rPr>
                <w:sz w:val="26"/>
                <w:szCs w:val="26"/>
              </w:rPr>
              <w:t>2. Аргументация. Привлечение литературного материала</w:t>
            </w:r>
          </w:p>
          <w:p w:rsidR="00515EF8" w:rsidRDefault="00515EF8">
            <w:pPr>
              <w:pStyle w:val="Default"/>
              <w:rPr>
                <w:sz w:val="26"/>
                <w:szCs w:val="26"/>
              </w:rPr>
            </w:pPr>
          </w:p>
          <w:tbl>
            <w:tblPr>
              <w:tblW w:w="8274" w:type="dxa"/>
              <w:tblBorders>
                <w:top w:val="nil"/>
                <w:left w:val="nil"/>
                <w:bottom w:val="nil"/>
                <w:right w:val="nil"/>
              </w:tblBorders>
              <w:tblLayout w:type="fixed"/>
              <w:tblLook w:val="0000"/>
            </w:tblPr>
            <w:tblGrid>
              <w:gridCol w:w="4137"/>
              <w:gridCol w:w="4137"/>
            </w:tblGrid>
            <w:tr w:rsidR="00515EF8" w:rsidTr="00515EF8">
              <w:trPr>
                <w:trHeight w:val="117"/>
              </w:trPr>
              <w:tc>
                <w:tcPr>
                  <w:tcW w:w="4137" w:type="dxa"/>
                </w:tcPr>
                <w:tbl>
                  <w:tblPr>
                    <w:tblW w:w="9094" w:type="dxa"/>
                    <w:tblBorders>
                      <w:top w:val="nil"/>
                      <w:left w:val="nil"/>
                      <w:bottom w:val="nil"/>
                      <w:right w:val="nil"/>
                    </w:tblBorders>
                    <w:tblLayout w:type="fixed"/>
                    <w:tblLook w:val="0000"/>
                  </w:tblPr>
                  <w:tblGrid>
                    <w:gridCol w:w="4547"/>
                    <w:gridCol w:w="4547"/>
                  </w:tblGrid>
                  <w:tr w:rsidR="00515EF8" w:rsidTr="00515EF8">
                    <w:trPr>
                      <w:trHeight w:val="289"/>
                    </w:trPr>
                    <w:tc>
                      <w:tcPr>
                        <w:tcW w:w="4547" w:type="dxa"/>
                      </w:tcPr>
                      <w:p w:rsidR="00515EF8" w:rsidRDefault="00515EF8">
                        <w:pPr>
                          <w:pStyle w:val="Default"/>
                          <w:rPr>
                            <w:sz w:val="26"/>
                            <w:szCs w:val="26"/>
                          </w:rPr>
                        </w:pPr>
                        <w:r>
                          <w:rPr>
                            <w:sz w:val="26"/>
                            <w:szCs w:val="26"/>
                          </w:rPr>
                          <w:t xml:space="preserve">3. Композиция и логика </w:t>
                        </w:r>
                        <w:proofErr w:type="spellStart"/>
                        <w:r>
                          <w:rPr>
                            <w:sz w:val="26"/>
                            <w:szCs w:val="26"/>
                          </w:rPr>
                          <w:t>рассужденияния</w:t>
                        </w:r>
                        <w:proofErr w:type="spellEnd"/>
                        <w:r>
                          <w:rPr>
                            <w:sz w:val="26"/>
                            <w:szCs w:val="26"/>
                          </w:rPr>
                          <w:t xml:space="preserve"> </w:t>
                        </w:r>
                      </w:p>
                      <w:p w:rsidR="00515EF8" w:rsidRDefault="00515EF8">
                        <w:pPr>
                          <w:pStyle w:val="Default"/>
                          <w:rPr>
                            <w:sz w:val="26"/>
                            <w:szCs w:val="26"/>
                          </w:rPr>
                        </w:pPr>
                      </w:p>
                    </w:tc>
                    <w:tc>
                      <w:tcPr>
                        <w:tcW w:w="4547" w:type="dxa"/>
                      </w:tcPr>
                      <w:p w:rsidR="00515EF8" w:rsidRDefault="00515EF8">
                        <w:pPr>
                          <w:pStyle w:val="Default"/>
                          <w:rPr>
                            <w:sz w:val="26"/>
                            <w:szCs w:val="26"/>
                          </w:rPr>
                        </w:pPr>
                        <w:r>
                          <w:rPr>
                            <w:sz w:val="26"/>
                            <w:szCs w:val="26"/>
                          </w:rPr>
                          <w:t xml:space="preserve">3. Использование элементов стиля исходного текста </w:t>
                        </w:r>
                      </w:p>
                    </w:tc>
                  </w:tr>
                  <w:tr w:rsidR="00515EF8" w:rsidTr="00515EF8">
                    <w:trPr>
                      <w:trHeight w:val="117"/>
                    </w:trPr>
                    <w:tc>
                      <w:tcPr>
                        <w:tcW w:w="9094" w:type="dxa"/>
                        <w:gridSpan w:val="2"/>
                      </w:tcPr>
                      <w:p w:rsidR="00515EF8" w:rsidRDefault="00515EF8">
                        <w:pPr>
                          <w:pStyle w:val="Default"/>
                          <w:rPr>
                            <w:sz w:val="26"/>
                            <w:szCs w:val="26"/>
                          </w:rPr>
                        </w:pPr>
                        <w:r>
                          <w:rPr>
                            <w:sz w:val="26"/>
                            <w:szCs w:val="26"/>
                          </w:rPr>
                          <w:t xml:space="preserve">4. Качество письменной речи </w:t>
                        </w:r>
                      </w:p>
                    </w:tc>
                  </w:tr>
                  <w:tr w:rsidR="00515EF8" w:rsidTr="00515EF8">
                    <w:trPr>
                      <w:trHeight w:val="117"/>
                    </w:trPr>
                    <w:tc>
                      <w:tcPr>
                        <w:tcW w:w="9094" w:type="dxa"/>
                        <w:gridSpan w:val="2"/>
                      </w:tcPr>
                      <w:p w:rsidR="00515EF8" w:rsidRDefault="00515EF8">
                        <w:pPr>
                          <w:pStyle w:val="Default"/>
                          <w:rPr>
                            <w:sz w:val="26"/>
                            <w:szCs w:val="26"/>
                          </w:rPr>
                        </w:pPr>
                        <w:r>
                          <w:rPr>
                            <w:sz w:val="26"/>
                            <w:szCs w:val="26"/>
                          </w:rPr>
                          <w:t xml:space="preserve">5. Грамотность </w:t>
                        </w:r>
                      </w:p>
                    </w:tc>
                  </w:tr>
                </w:tbl>
                <w:p w:rsidR="00515EF8" w:rsidRDefault="00515EF8">
                  <w:pPr>
                    <w:pStyle w:val="Default"/>
                    <w:rPr>
                      <w:sz w:val="26"/>
                      <w:szCs w:val="26"/>
                    </w:rPr>
                  </w:pPr>
                </w:p>
              </w:tc>
              <w:tc>
                <w:tcPr>
                  <w:tcW w:w="4137" w:type="dxa"/>
                </w:tcPr>
                <w:p w:rsidR="00515EF8" w:rsidRDefault="00515EF8">
                  <w:pPr>
                    <w:pStyle w:val="Default"/>
                    <w:rPr>
                      <w:sz w:val="26"/>
                      <w:szCs w:val="26"/>
                    </w:rPr>
                  </w:pPr>
                </w:p>
              </w:tc>
            </w:tr>
          </w:tbl>
          <w:p w:rsidR="00515EF8" w:rsidRDefault="00515EF8" w:rsidP="00515EF8">
            <w:pPr>
              <w:pStyle w:val="Default"/>
              <w:rPr>
                <w:sz w:val="26"/>
                <w:szCs w:val="26"/>
              </w:rPr>
            </w:pPr>
            <w:r>
              <w:rPr>
                <w:sz w:val="26"/>
                <w:szCs w:val="26"/>
              </w:rPr>
              <w:t xml:space="preserve">  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tc>
      </w:tr>
    </w:tbl>
    <w:p w:rsidR="00515EF8" w:rsidRDefault="00515EF8" w:rsidP="00515EF8">
      <w:pPr>
        <w:pStyle w:val="Default"/>
        <w:rPr>
          <w:color w:val="auto"/>
        </w:rPr>
      </w:pPr>
    </w:p>
    <w:p w:rsidR="00515EF8" w:rsidRDefault="00515EF8" w:rsidP="00515EF8">
      <w:r>
        <w:t xml:space="preserve"> </w:t>
      </w:r>
      <w:r>
        <w:rPr>
          <w:sz w:val="26"/>
          <w:szCs w:val="26"/>
        </w:rPr>
        <w:t xml:space="preserve">С результатами анализа итоговых сочинений и методикой подготовки к нему можно ознакомиться на сайте ФГБНУ «Федеральный институт педагогических </w:t>
      </w:r>
      <w:r>
        <w:rPr>
          <w:sz w:val="26"/>
          <w:szCs w:val="26"/>
        </w:rPr>
        <w:lastRenderedPageBreak/>
        <w:t>измерений» (раздел «Итоговое сочинение (изложение)») (http://fipi.ru/ege-i-gve-11/itogovoe-sochinenie).</w:t>
      </w:r>
    </w:p>
    <w:sectPr w:rsidR="00515EF8" w:rsidSect="00CA4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DD9"/>
    <w:multiLevelType w:val="hybridMultilevel"/>
    <w:tmpl w:val="DAA6C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2589"/>
    <w:rsid w:val="00082589"/>
    <w:rsid w:val="001D356E"/>
    <w:rsid w:val="00515EF8"/>
    <w:rsid w:val="005D7B1C"/>
    <w:rsid w:val="006D448F"/>
    <w:rsid w:val="007B68C5"/>
    <w:rsid w:val="008A74E8"/>
    <w:rsid w:val="00907620"/>
    <w:rsid w:val="009A3ED0"/>
    <w:rsid w:val="00AC04A1"/>
    <w:rsid w:val="00CA4BC6"/>
    <w:rsid w:val="00EC1353"/>
    <w:rsid w:val="00F84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C5"/>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8C5"/>
    <w:pPr>
      <w:ind w:left="720"/>
      <w:contextualSpacing/>
    </w:pPr>
    <w:rPr>
      <w:rFonts w:eastAsia="Times New Roman" w:cs="Times New Roman"/>
    </w:rPr>
  </w:style>
  <w:style w:type="paragraph" w:customStyle="1" w:styleId="Default">
    <w:name w:val="Default"/>
    <w:rsid w:val="000825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2589</Words>
  <Characters>14761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19 г. Пензы</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10</cp:revision>
  <dcterms:created xsi:type="dcterms:W3CDTF">2018-11-28T14:41:00Z</dcterms:created>
  <dcterms:modified xsi:type="dcterms:W3CDTF">2019-12-02T11:12:00Z</dcterms:modified>
</cp:coreProperties>
</file>